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311E" w14:textId="77777777" w:rsidR="00A5321B" w:rsidRDefault="00A5321B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55CAA" w14:textId="50D5F1E3" w:rsidR="00300AA6" w:rsidRDefault="00A5321B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IV,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bookmarkEnd w:id="0"/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Automatică și Informatică Aplicată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3288206C" w14:textId="77777777" w:rsidR="00C74C84" w:rsidRPr="00A5321B" w:rsidRDefault="00A5321B" w:rsidP="00300AA6">
            <w:pPr>
              <w:spacing w:line="360" w:lineRule="auto"/>
              <w:jc w:val="both"/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A5321B">
              <w:rPr>
                <w:rFonts w:ascii="Cambria" w:hAnsi="Cambria"/>
                <w:b/>
                <w:bCs/>
                <w:i/>
                <w:iCs/>
                <w:w w:val="105"/>
              </w:rPr>
              <w:t>Sisteme distribuite de achiziție, monitorizare și conducere</w:t>
            </w:r>
          </w:p>
          <w:p w14:paraId="6526B3AD" w14:textId="5BB9FA3D" w:rsidR="00A5321B" w:rsidRDefault="00A5321B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i/>
                <w:iCs/>
                <w:w w:val="105"/>
              </w:rPr>
              <w:t>Sisteme avansate de comunicații</w:t>
            </w:r>
          </w:p>
        </w:tc>
        <w:tc>
          <w:tcPr>
            <w:tcW w:w="703" w:type="dxa"/>
          </w:tcPr>
          <w:p w14:paraId="2F9C9D77" w14:textId="77777777" w:rsidR="00C74C84" w:rsidRDefault="00A5321B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2651989A" w:rsidR="00A5321B" w:rsidRDefault="00A5321B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74C84" w14:paraId="09715E22" w14:textId="77777777" w:rsidTr="00A55021">
        <w:tc>
          <w:tcPr>
            <w:tcW w:w="8359" w:type="dxa"/>
          </w:tcPr>
          <w:p w14:paraId="40CD7D2B" w14:textId="77777777" w:rsidR="00C74C84" w:rsidRDefault="00A5321B" w:rsidP="00300AA6">
            <w:pPr>
              <w:spacing w:line="360" w:lineRule="auto"/>
              <w:jc w:val="both"/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>Fiabilitate și diagnoză</w:t>
            </w:r>
          </w:p>
          <w:p w14:paraId="2B4B82F4" w14:textId="01E35B95" w:rsidR="00A5321B" w:rsidRDefault="00A5321B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>Managementul proiectelor</w:t>
            </w:r>
          </w:p>
        </w:tc>
        <w:tc>
          <w:tcPr>
            <w:tcW w:w="703" w:type="dxa"/>
          </w:tcPr>
          <w:p w14:paraId="21C75724" w14:textId="77777777" w:rsidR="00C74C84" w:rsidRDefault="00A5321B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7766B6C6" w:rsidR="00A5321B" w:rsidRDefault="00A5321B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A5321B" w14:paraId="184A04A6" w14:textId="77777777" w:rsidTr="00A55021">
        <w:tc>
          <w:tcPr>
            <w:tcW w:w="8359" w:type="dxa"/>
          </w:tcPr>
          <w:p w14:paraId="219E7552" w14:textId="77777777" w:rsidR="00A5321B" w:rsidRDefault="00A5321B" w:rsidP="00A5321B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>Inteligență artificială</w:t>
            </w:r>
          </w:p>
          <w:p w14:paraId="22DBE32A" w14:textId="77777777" w:rsidR="00A5321B" w:rsidRDefault="00A5321B" w:rsidP="00A5321B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</w:p>
          <w:p w14:paraId="1B5405F7" w14:textId="63C3A150" w:rsidR="00A5321B" w:rsidRPr="007E2212" w:rsidRDefault="00A5321B" w:rsidP="00A5321B">
            <w:pPr>
              <w:spacing w:line="360" w:lineRule="auto"/>
              <w:jc w:val="both"/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>Sisteme expert în automatică</w:t>
            </w:r>
          </w:p>
        </w:tc>
        <w:tc>
          <w:tcPr>
            <w:tcW w:w="703" w:type="dxa"/>
          </w:tcPr>
          <w:p w14:paraId="449DF23F" w14:textId="77777777" w:rsidR="00A5321B" w:rsidRDefault="00A5321B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1759E64" w14:textId="7A63254A" w:rsidR="00A5321B" w:rsidRDefault="00A5321B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267B38" w14:paraId="77E7628D" w14:textId="77777777" w:rsidTr="00A55021">
        <w:tc>
          <w:tcPr>
            <w:tcW w:w="8359" w:type="dxa"/>
          </w:tcPr>
          <w:p w14:paraId="27AD3272" w14:textId="77777777" w:rsidR="00267B38" w:rsidRPr="007E2212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>Securitatea sistemelor de calcul</w:t>
            </w:r>
          </w:p>
          <w:p w14:paraId="3A750434" w14:textId="77777777" w:rsidR="00267B38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</w:p>
          <w:p w14:paraId="7873AAD6" w14:textId="362EFFA1" w:rsidR="00267B38" w:rsidRPr="007E2212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>Tehnici de securizare a informa</w:t>
            </w:r>
            <w:r w:rsidRPr="0056197E">
              <w:rPr>
                <w:rFonts w:ascii="Cambria" w:hAnsi="Cambria"/>
                <w:b/>
                <w:bCs/>
                <w:i/>
                <w:iCs/>
                <w:w w:val="105"/>
              </w:rPr>
              <w:t>ției</w:t>
            </w:r>
          </w:p>
        </w:tc>
        <w:tc>
          <w:tcPr>
            <w:tcW w:w="703" w:type="dxa"/>
          </w:tcPr>
          <w:p w14:paraId="6EB7F0B5" w14:textId="77777777" w:rsidR="00267B38" w:rsidRDefault="00267B3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86DD094" w14:textId="219A3B47" w:rsidR="00267B38" w:rsidRDefault="00267B3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267B38" w14:paraId="51D69C03" w14:textId="77777777" w:rsidTr="00A55021">
        <w:tc>
          <w:tcPr>
            <w:tcW w:w="8359" w:type="dxa"/>
          </w:tcPr>
          <w:p w14:paraId="226F3359" w14:textId="77777777" w:rsidR="00267B38" w:rsidRPr="007E2212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>Programarea aplicațiilor de timp real</w:t>
            </w:r>
          </w:p>
          <w:p w14:paraId="1F119B00" w14:textId="77777777" w:rsidR="00267B38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</w:p>
          <w:p w14:paraId="4F972550" w14:textId="01741549" w:rsidR="00267B38" w:rsidRPr="007E2212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56197E">
              <w:rPr>
                <w:rFonts w:ascii="Cambria" w:hAnsi="Cambria"/>
                <w:b/>
                <w:bCs/>
                <w:i/>
                <w:iCs/>
                <w:w w:val="105"/>
              </w:rPr>
              <w:t>Microcontrolere în automatizări</w:t>
            </w:r>
          </w:p>
        </w:tc>
        <w:tc>
          <w:tcPr>
            <w:tcW w:w="703" w:type="dxa"/>
          </w:tcPr>
          <w:p w14:paraId="09009469" w14:textId="77777777" w:rsidR="00267B38" w:rsidRDefault="00267B3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747F4713" w14:textId="764A290D" w:rsidR="00267B38" w:rsidRDefault="00267B3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267B38" w14:paraId="7601F998" w14:textId="77777777" w:rsidTr="00A55021">
        <w:tc>
          <w:tcPr>
            <w:tcW w:w="8359" w:type="dxa"/>
          </w:tcPr>
          <w:p w14:paraId="1FC3D36A" w14:textId="77777777" w:rsidR="00267B38" w:rsidRPr="007E2212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>Grafică digitală</w:t>
            </w:r>
          </w:p>
          <w:p w14:paraId="36924F44" w14:textId="77777777" w:rsidR="00267B38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</w:p>
          <w:p w14:paraId="4CFC28FC" w14:textId="25F7C1AA" w:rsidR="00267B38" w:rsidRPr="007E2212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56197E">
              <w:rPr>
                <w:rFonts w:ascii="Cambria" w:hAnsi="Cambria"/>
                <w:b/>
                <w:bCs/>
                <w:i/>
                <w:iCs/>
                <w:w w:val="105"/>
              </w:rPr>
              <w:t>Vedere artificială</w:t>
            </w:r>
          </w:p>
        </w:tc>
        <w:tc>
          <w:tcPr>
            <w:tcW w:w="703" w:type="dxa"/>
          </w:tcPr>
          <w:p w14:paraId="139EC595" w14:textId="77777777" w:rsidR="00267B38" w:rsidRDefault="00267B3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0BD375F" w14:textId="4D0E9FB9" w:rsidR="00267B38" w:rsidRDefault="00267B3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267B38" w14:paraId="5E40C47B" w14:textId="77777777" w:rsidTr="00A55021">
        <w:tc>
          <w:tcPr>
            <w:tcW w:w="8359" w:type="dxa"/>
          </w:tcPr>
          <w:p w14:paraId="42A5CB26" w14:textId="77777777" w:rsidR="00267B38" w:rsidRPr="007E2212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7E2212">
              <w:rPr>
                <w:rFonts w:ascii="Cambria" w:hAnsi="Cambria"/>
                <w:b/>
                <w:bCs/>
                <w:i/>
                <w:iCs/>
                <w:w w:val="105"/>
              </w:rPr>
              <w:t xml:space="preserve">Conducerea structurilor flexibile de fabricație </w:t>
            </w:r>
          </w:p>
          <w:p w14:paraId="6D6F4CD0" w14:textId="77777777" w:rsidR="00267B38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</w:p>
          <w:p w14:paraId="03C211E5" w14:textId="61E2C9DC" w:rsidR="00267B38" w:rsidRPr="007E2212" w:rsidRDefault="00267B38" w:rsidP="00267B38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56197E">
              <w:rPr>
                <w:rFonts w:ascii="Cambria" w:hAnsi="Cambria"/>
                <w:b/>
                <w:bCs/>
                <w:i/>
                <w:iCs/>
                <w:w w:val="105"/>
              </w:rPr>
              <w:t>Conducerea roboților industriali</w:t>
            </w:r>
          </w:p>
        </w:tc>
        <w:tc>
          <w:tcPr>
            <w:tcW w:w="703" w:type="dxa"/>
          </w:tcPr>
          <w:p w14:paraId="53FBB67C" w14:textId="77777777" w:rsidR="00267B38" w:rsidRDefault="00267B3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47352E5F" w14:textId="7A9495F3" w:rsidR="00267B38" w:rsidRDefault="00267B3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6E42DB5B" w14:textId="77777777" w:rsidR="00267B38" w:rsidRDefault="00267B38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94B96" w14:textId="6080F39D" w:rsidR="00C74C84" w:rsidRDefault="00300AA6" w:rsidP="00267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9B0494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2C02" w14:textId="77777777" w:rsidR="00777264" w:rsidRDefault="00777264" w:rsidP="00E06E03">
      <w:pPr>
        <w:spacing w:after="0" w:line="240" w:lineRule="auto"/>
      </w:pPr>
      <w:r>
        <w:separator/>
      </w:r>
    </w:p>
  </w:endnote>
  <w:endnote w:type="continuationSeparator" w:id="0">
    <w:p w14:paraId="62E65B7C" w14:textId="77777777" w:rsidR="00777264" w:rsidRDefault="00777264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20313B" w:rsidRDefault="00E06E03">
    <w:pPr>
      <w:pStyle w:val="Footer"/>
      <w:rPr>
        <w:lang w:val="fr-FR"/>
      </w:rPr>
    </w:pPr>
    <w:r w:rsidRPr="0020313B">
      <w:rPr>
        <w:lang w:val="fr-FR"/>
      </w:rPr>
      <w:t xml:space="preserve">F 690.2022. Ed.1                                                                                        </w:t>
    </w:r>
    <w:r w:rsidR="00470E00" w:rsidRPr="0020313B">
      <w:rPr>
        <w:lang w:val="fr-FR"/>
      </w:rPr>
      <w:t xml:space="preserve">                </w:t>
    </w:r>
    <w:r w:rsidRPr="0020313B">
      <w:rPr>
        <w:lang w:val="fr-FR"/>
      </w:rPr>
      <w:t xml:space="preserve">       Document de </w:t>
    </w:r>
    <w:proofErr w:type="spellStart"/>
    <w:r w:rsidRPr="0020313B">
      <w:rPr>
        <w:lang w:val="fr-FR"/>
      </w:rPr>
      <w:t>uz</w:t>
    </w:r>
    <w:proofErr w:type="spellEnd"/>
    <w:r w:rsidRPr="0020313B">
      <w:rPr>
        <w:lang w:val="fr-FR"/>
      </w:rPr>
      <w:t xml:space="preserve"> </w:t>
    </w:r>
    <w:proofErr w:type="spellStart"/>
    <w:r w:rsidRPr="0020313B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9947" w14:textId="77777777" w:rsidR="00777264" w:rsidRDefault="00777264" w:rsidP="00E06E03">
      <w:pPr>
        <w:spacing w:after="0" w:line="240" w:lineRule="auto"/>
      </w:pPr>
      <w:r>
        <w:separator/>
      </w:r>
    </w:p>
  </w:footnote>
  <w:footnote w:type="continuationSeparator" w:id="0">
    <w:p w14:paraId="2B2FA075" w14:textId="77777777" w:rsidR="00777264" w:rsidRDefault="00777264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BF65" w14:textId="77777777" w:rsidR="0020313B" w:rsidRDefault="0020313B" w:rsidP="00336FA6">
    <w:pPr>
      <w:pStyle w:val="Header"/>
      <w:rPr>
        <w:noProof/>
      </w:rPr>
    </w:pPr>
  </w:p>
  <w:p w14:paraId="424E4549" w14:textId="77777777" w:rsidR="0020313B" w:rsidRDefault="0020313B" w:rsidP="00336FA6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20313B" w14:paraId="2D59F8CD" w14:textId="77777777" w:rsidTr="00AE0E2C">
      <w:tc>
        <w:tcPr>
          <w:tcW w:w="1176" w:type="dxa"/>
          <w:vAlign w:val="center"/>
        </w:tcPr>
        <w:p w14:paraId="4FC4E613" w14:textId="77777777" w:rsidR="0020313B" w:rsidRDefault="0020313B" w:rsidP="0020313B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6FAA8A51" wp14:editId="7C8927F4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FBB3799" w14:textId="77777777" w:rsidR="0020313B" w:rsidRPr="0068557E" w:rsidRDefault="0020313B" w:rsidP="0020313B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5C50DA79" w14:textId="77777777" w:rsidR="0020313B" w:rsidRPr="0068557E" w:rsidRDefault="0020313B" w:rsidP="0020313B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24DA3165" w14:textId="77777777" w:rsidR="0020313B" w:rsidRDefault="0020313B" w:rsidP="0020313B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61A5B692" w14:textId="77777777" w:rsidR="0020313B" w:rsidRDefault="0020313B" w:rsidP="0020313B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34CEB673" wp14:editId="793A2886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4A1F29" w14:textId="0DD86959" w:rsidR="00336FA6" w:rsidRPr="00336FA6" w:rsidRDefault="00336FA6" w:rsidP="00336FA6">
    <w:pPr>
      <w:pStyle w:val="Header"/>
    </w:pPr>
    <w:r w:rsidRPr="00336FA6">
      <w:tab/>
    </w:r>
    <w:r w:rsidRPr="00336FA6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74D4"/>
    <w:rsid w:val="0011151B"/>
    <w:rsid w:val="00155B9F"/>
    <w:rsid w:val="001C772F"/>
    <w:rsid w:val="0020313B"/>
    <w:rsid w:val="0026479F"/>
    <w:rsid w:val="00267B38"/>
    <w:rsid w:val="002E0DC0"/>
    <w:rsid w:val="002E1C61"/>
    <w:rsid w:val="002F510F"/>
    <w:rsid w:val="00300AA6"/>
    <w:rsid w:val="003134F8"/>
    <w:rsid w:val="00314D7C"/>
    <w:rsid w:val="00336FA6"/>
    <w:rsid w:val="004602EA"/>
    <w:rsid w:val="00470E00"/>
    <w:rsid w:val="004E166B"/>
    <w:rsid w:val="00572C96"/>
    <w:rsid w:val="005C700E"/>
    <w:rsid w:val="00777264"/>
    <w:rsid w:val="007A4AEB"/>
    <w:rsid w:val="007B23FB"/>
    <w:rsid w:val="0086122E"/>
    <w:rsid w:val="008E0358"/>
    <w:rsid w:val="008E3462"/>
    <w:rsid w:val="00915276"/>
    <w:rsid w:val="009B0494"/>
    <w:rsid w:val="00A5321B"/>
    <w:rsid w:val="00A55021"/>
    <w:rsid w:val="00AF18D2"/>
    <w:rsid w:val="00BC29B3"/>
    <w:rsid w:val="00C74C84"/>
    <w:rsid w:val="00E06E03"/>
    <w:rsid w:val="00E31229"/>
    <w:rsid w:val="00ED25E1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10</cp:revision>
  <cp:lastPrinted>2022-09-26T07:03:00Z</cp:lastPrinted>
  <dcterms:created xsi:type="dcterms:W3CDTF">2025-10-02T13:19:00Z</dcterms:created>
  <dcterms:modified xsi:type="dcterms:W3CDTF">2026-04-02T09:09:00Z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